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D1B0" w14:textId="2805BE52" w:rsidR="00762252" w:rsidRPr="000755F6" w:rsidRDefault="0056216C" w:rsidP="00762252">
      <w:pPr>
        <w:pStyle w:val="HWSpacer"/>
        <w:rPr>
          <w:rFonts w:ascii="Century Gothic" w:hAnsi="Century Gothic"/>
        </w:rPr>
        <w:sectPr w:rsidR="00762252" w:rsidRPr="000755F6" w:rsidSect="00762252">
          <w:headerReference w:type="default" r:id="rId11"/>
          <w:footerReference w:type="default" r:id="rId12"/>
          <w:footerReference w:type="first" r:id="rId13"/>
          <w:pgSz w:w="11906" w:h="16838" w:code="9"/>
          <w:pgMar w:top="851" w:right="737" w:bottom="340" w:left="737" w:header="624" w:footer="227" w:gutter="0"/>
          <w:cols w:space="708"/>
          <w:docGrid w:linePitch="360"/>
        </w:sectPr>
      </w:pPr>
      <w:r w:rsidRPr="0056216C">
        <w:drawing>
          <wp:inline distT="0" distB="0" distL="0" distR="0" wp14:anchorId="69604BDB" wp14:editId="48D17F19">
            <wp:extent cx="5731510" cy="694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6944360"/>
                    </a:xfrm>
                    <a:prstGeom prst="rect">
                      <a:avLst/>
                    </a:prstGeom>
                    <a:noFill/>
                    <a:ln>
                      <a:noFill/>
                    </a:ln>
                  </pic:spPr>
                </pic:pic>
              </a:graphicData>
            </a:graphic>
          </wp:inline>
        </w:drawing>
      </w:r>
      <w:r w:rsidR="00D95CF1" w:rsidRPr="000755F6">
        <w:rPr>
          <w:rFonts w:ascii="Century Gothic" w:hAnsi="Century Gothic"/>
          <w:noProof/>
          <w:lang w:eastAsia="en-GB"/>
        </w:rPr>
        <w:drawing>
          <wp:anchor distT="0" distB="0" distL="114300" distR="114300" simplePos="0" relativeHeight="251656704" behindDoc="1" locked="1" layoutInCell="1" allowOverlap="1" wp14:anchorId="1634FEFB" wp14:editId="4C0E5767">
            <wp:simplePos x="0" y="0"/>
            <wp:positionH relativeFrom="page">
              <wp:posOffset>4157980</wp:posOffset>
            </wp:positionH>
            <wp:positionV relativeFrom="page">
              <wp:posOffset>200025</wp:posOffset>
            </wp:positionV>
            <wp:extent cx="2875280" cy="914400"/>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875280" cy="914400"/>
                    </a:xfrm>
                    <a:prstGeom prst="rect">
                      <a:avLst/>
                    </a:prstGeom>
                  </pic:spPr>
                </pic:pic>
              </a:graphicData>
            </a:graphic>
            <wp14:sizeRelH relativeFrom="margin">
              <wp14:pctWidth>0</wp14:pctWidth>
            </wp14:sizeRelH>
          </wp:anchor>
        </w:drawing>
      </w:r>
      <w:r w:rsidR="00D95CF1" w:rsidRPr="000755F6">
        <w:rPr>
          <w:rFonts w:ascii="Century Gothic" w:hAnsi="Century Gothic"/>
          <w:noProof/>
          <w:lang w:eastAsia="en-GB"/>
        </w:rPr>
        <w:drawing>
          <wp:anchor distT="0" distB="0" distL="114300" distR="114300" simplePos="0" relativeHeight="251654656" behindDoc="1" locked="1" layoutInCell="1" allowOverlap="1" wp14:anchorId="04ED48E4" wp14:editId="1E11FF7D">
            <wp:simplePos x="0" y="0"/>
            <wp:positionH relativeFrom="page">
              <wp:posOffset>0</wp:posOffset>
            </wp:positionH>
            <wp:positionV relativeFrom="page">
              <wp:posOffset>0</wp:posOffset>
            </wp:positionV>
            <wp:extent cx="7560310" cy="10693400"/>
            <wp:effectExtent l="19050" t="0" r="2540" b="0"/>
            <wp:wrapNone/>
            <wp:docPr id="4" name="Picture 4" descr="P1031 HWE Brand project - Briefing templa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1 HWE Brand project - Briefing template_Cover"/>
                    <pic:cNvPicPr>
                      <a:picLocks noChangeAspect="1" noChangeArrowheads="1"/>
                    </pic:cNvPicPr>
                  </pic:nvPicPr>
                  <pic:blipFill>
                    <a:blip r:embed="rId16" cstate="print"/>
                    <a:srcRect/>
                    <a:stretch>
                      <a:fillRect/>
                    </a:stretch>
                  </pic:blipFill>
                  <pic:spPr bwMode="auto">
                    <a:xfrm>
                      <a:off x="0" y="0"/>
                      <a:ext cx="7560310" cy="10693400"/>
                    </a:xfrm>
                    <a:prstGeom prst="rect">
                      <a:avLst/>
                    </a:prstGeom>
                    <a:noFill/>
                    <a:ln w="9525">
                      <a:noFill/>
                      <a:miter lim="800000"/>
                      <a:headEnd/>
                      <a:tailEnd/>
                    </a:ln>
                  </pic:spPr>
                </pic:pic>
              </a:graphicData>
            </a:graphic>
          </wp:anchor>
        </w:drawing>
      </w:r>
    </w:p>
    <w:p w14:paraId="2920AB99" w14:textId="77417087" w:rsidR="00762252" w:rsidRPr="000755F6" w:rsidRDefault="00762252" w:rsidP="00507535">
      <w:pPr>
        <w:pStyle w:val="HWNormalText"/>
      </w:pPr>
    </w:p>
    <w:p w14:paraId="42D9826F" w14:textId="2C0E1B61" w:rsidR="00315FD6" w:rsidRPr="006A54C5" w:rsidRDefault="004B0E98" w:rsidP="00507535">
      <w:pPr>
        <w:pStyle w:val="HWHeading2"/>
        <w:ind w:left="284" w:right="509"/>
        <w:rPr>
          <w:sz w:val="32"/>
          <w:szCs w:val="32"/>
        </w:rPr>
      </w:pPr>
      <w:r w:rsidRPr="006A54C5">
        <w:rPr>
          <w:sz w:val="32"/>
          <w:szCs w:val="32"/>
        </w:rPr>
        <w:t>When we are out and about in the community, one of the most common things we hear Barking and Dagenham residents say is how difficult and time consuming it has become to get a face-to-face GP appointment. It is evident that Covid-19 pandemic has exacerbated access problems in general practice.</w:t>
      </w:r>
      <w:r w:rsidR="00781B6F" w:rsidRPr="006A54C5">
        <w:rPr>
          <w:sz w:val="32"/>
          <w:szCs w:val="32"/>
        </w:rPr>
        <w:t xml:space="preserve"> However, some residents have expressed that getting a face-to-face appointment with their GP is as easy as it was pre-Covid.</w:t>
      </w:r>
    </w:p>
    <w:p w14:paraId="2D6DBE2F" w14:textId="77777777" w:rsidR="008162F9" w:rsidRPr="000755F6" w:rsidRDefault="008162F9" w:rsidP="00125F27">
      <w:pPr>
        <w:pStyle w:val="HWNormalText"/>
        <w:ind w:left="284" w:right="509"/>
        <w:jc w:val="center"/>
      </w:pPr>
    </w:p>
    <w:p w14:paraId="31C4719D" w14:textId="1B1FB55D" w:rsidR="00313417" w:rsidRPr="00562436" w:rsidRDefault="00562436" w:rsidP="00125F27">
      <w:pPr>
        <w:pStyle w:val="HWHeading3"/>
        <w:ind w:left="284" w:right="509"/>
        <w:jc w:val="center"/>
      </w:pPr>
      <w:r w:rsidRPr="00562436">
        <w:t>There is not a single component that is responsible for this access concern</w:t>
      </w:r>
      <w:r w:rsidR="00781B6F">
        <w:t>.</w:t>
      </w:r>
      <w:r w:rsidRPr="00562436">
        <w:t xml:space="preserve"> residents of Barking and Dagenham told us that:</w:t>
      </w:r>
    </w:p>
    <w:p w14:paraId="0704B835" w14:textId="1F4C824A" w:rsidR="006F7A8E" w:rsidRPr="000755F6" w:rsidRDefault="006F7A8E" w:rsidP="00125F27">
      <w:pPr>
        <w:spacing w:line="240" w:lineRule="auto"/>
        <w:ind w:left="284" w:right="509"/>
        <w:jc w:val="center"/>
        <w:rPr>
          <w:rFonts w:ascii="Century Gothic" w:hAnsi="Century Gothic"/>
          <w:b/>
          <w:color w:val="5F5F5F" w:themeColor="text2" w:themeShade="80"/>
          <w:spacing w:val="10"/>
        </w:rPr>
      </w:pPr>
    </w:p>
    <w:p w14:paraId="3595E27F" w14:textId="77777777" w:rsidR="00125F27" w:rsidRPr="00507535" w:rsidRDefault="00125F27" w:rsidP="006A54C5">
      <w:pPr>
        <w:pStyle w:val="IntenseQuote"/>
      </w:pPr>
      <w:r w:rsidRPr="00507535">
        <w:t>“The system is not fit for purpose; I call them, and I am told I am number 33 in the queue. 9 times out of 10 I cannot get an appointment.”</w:t>
      </w:r>
    </w:p>
    <w:p w14:paraId="521EF3E2" w14:textId="53733075" w:rsidR="00125F27" w:rsidRDefault="00125F27" w:rsidP="006A54C5">
      <w:pPr>
        <w:pStyle w:val="IntenseQuote"/>
      </w:pPr>
      <w:r w:rsidRPr="00507535">
        <w:t>“I cannot get an appointment despite ringing them constantly. Eventually they booked a telephone appointment but changed the date without telling me, which caused me to miss it.”</w:t>
      </w:r>
    </w:p>
    <w:p w14:paraId="0516CD7A" w14:textId="5FCC8C70" w:rsidR="00781B6F" w:rsidRPr="00507535" w:rsidRDefault="00781B6F" w:rsidP="006A54C5">
      <w:pPr>
        <w:pStyle w:val="IntenseQuote"/>
      </w:pPr>
      <w:r>
        <w:t>“</w:t>
      </w:r>
      <w:r w:rsidRPr="00781B6F">
        <w:t xml:space="preserve">My GP surgery is very </w:t>
      </w:r>
      <w:r w:rsidRPr="00781B6F">
        <w:t>good;</w:t>
      </w:r>
      <w:r w:rsidRPr="00781B6F">
        <w:t xml:space="preserve"> I always get an appointment. If I rang them </w:t>
      </w:r>
      <w:r w:rsidRPr="00781B6F">
        <w:t>today,</w:t>
      </w:r>
      <w:r w:rsidRPr="00781B6F">
        <w:t xml:space="preserve"> I would be getting an appointment in 2 </w:t>
      </w:r>
      <w:r w:rsidRPr="00781B6F">
        <w:t>days’ time</w:t>
      </w:r>
      <w:r w:rsidRPr="00781B6F">
        <w:t>.</w:t>
      </w:r>
      <w:r>
        <w:t>”</w:t>
      </w:r>
    </w:p>
    <w:p w14:paraId="087F0577" w14:textId="77777777" w:rsidR="00125F27" w:rsidRPr="00507535" w:rsidRDefault="00125F27" w:rsidP="006A54C5">
      <w:pPr>
        <w:pStyle w:val="IntenseQuote"/>
      </w:pPr>
      <w:r w:rsidRPr="00507535">
        <w:t>“Pandemic is over, but my doctor only offers telephone calls, no face-to-face appointments.”</w:t>
      </w:r>
    </w:p>
    <w:p w14:paraId="11B5B2FB" w14:textId="48125112" w:rsidR="00125F27" w:rsidRDefault="00125F27" w:rsidP="006A54C5">
      <w:pPr>
        <w:pStyle w:val="IntenseQuote"/>
      </w:pPr>
      <w:r w:rsidRPr="00507535">
        <w:t>“I cannot get a face-to-face appointment before having e-consult. My parents are elderly, and they don’t know how to use it, this system is discriminating people who cannot use technology”.</w:t>
      </w:r>
    </w:p>
    <w:p w14:paraId="01BCEED1" w14:textId="7360BE06" w:rsidR="006A54C5" w:rsidRDefault="006A54C5" w:rsidP="006A54C5">
      <w:pPr>
        <w:pStyle w:val="IntenseQuote"/>
      </w:pPr>
      <w:r>
        <w:t>“</w:t>
      </w:r>
      <w:r w:rsidRPr="006A54C5">
        <w:t>I had difficulty getting an appointment, call at 8am then I went in person and then they gave me an appointment</w:t>
      </w:r>
      <w:r>
        <w:t>.”</w:t>
      </w:r>
    </w:p>
    <w:p w14:paraId="26810B70" w14:textId="77777777" w:rsidR="00781B6F" w:rsidRPr="00781B6F" w:rsidRDefault="00781B6F" w:rsidP="00781B6F"/>
    <w:p w14:paraId="39F49D8D" w14:textId="77777777" w:rsidR="00507535" w:rsidRPr="00507535" w:rsidRDefault="00507535" w:rsidP="00507535"/>
    <w:p w14:paraId="6B39438F" w14:textId="77777777" w:rsidR="00125F27" w:rsidRPr="00125F27" w:rsidRDefault="00125F27" w:rsidP="00125F27"/>
    <w:p w14:paraId="50DB3A7C" w14:textId="77777777" w:rsidR="00125F27" w:rsidRDefault="00125F27" w:rsidP="00125F27">
      <w:pPr>
        <w:pStyle w:val="HWBlank"/>
        <w:ind w:left="284" w:right="509"/>
        <w:jc w:val="center"/>
      </w:pPr>
    </w:p>
    <w:p w14:paraId="3383F6BA" w14:textId="77777777" w:rsidR="00E45E90" w:rsidRPr="000755F6" w:rsidRDefault="00E45E90" w:rsidP="00125F27">
      <w:pPr>
        <w:pStyle w:val="HWBlank"/>
        <w:ind w:left="284" w:right="509"/>
        <w:jc w:val="center"/>
      </w:pPr>
    </w:p>
    <w:p w14:paraId="23415772" w14:textId="77777777" w:rsidR="00E903EC" w:rsidRPr="000755F6" w:rsidRDefault="00E903EC" w:rsidP="00125F27">
      <w:pPr>
        <w:pStyle w:val="HWNormalText"/>
        <w:ind w:left="284" w:right="509"/>
        <w:jc w:val="center"/>
      </w:pPr>
    </w:p>
    <w:p w14:paraId="75A78EC4" w14:textId="056ACAC4" w:rsidR="00255819" w:rsidRPr="006A54C5" w:rsidRDefault="00271A7C" w:rsidP="006A54C5">
      <w:pPr>
        <w:pStyle w:val="HWHeading3"/>
        <w:ind w:left="284" w:right="509"/>
        <w:jc w:val="center"/>
      </w:pPr>
      <w:r w:rsidRPr="00271A7C">
        <w:lastRenderedPageBreak/>
        <w:t xml:space="preserve">Do these issues sound familiar? We have prepared a helpful guide on </w:t>
      </w:r>
      <w:r w:rsidR="0027033C">
        <w:t>steps to take in order to be seen face to face by your GP</w:t>
      </w:r>
      <w:r w:rsidRPr="00271A7C">
        <w:t>.</w:t>
      </w:r>
      <w:r>
        <w:t xml:space="preserve"> Please see information below:</w:t>
      </w:r>
    </w:p>
    <w:p w14:paraId="381CF721" w14:textId="3C6E17F8" w:rsidR="004E3B85" w:rsidRPr="000755F6" w:rsidRDefault="004E3B85" w:rsidP="004A43F3">
      <w:pPr>
        <w:pStyle w:val="HWNormalText"/>
        <w:rPr>
          <w:b/>
          <w:bCs/>
        </w:rPr>
      </w:pPr>
    </w:p>
    <w:tbl>
      <w:tblPr>
        <w:tblStyle w:val="TableGrid"/>
        <w:tblW w:w="0" w:type="auto"/>
        <w:tblLayout w:type="fixed"/>
        <w:tblLook w:val="04A0" w:firstRow="1" w:lastRow="0" w:firstColumn="1" w:lastColumn="0" w:noHBand="0" w:noVBand="1"/>
      </w:tblPr>
      <w:tblGrid>
        <w:gridCol w:w="4792"/>
        <w:gridCol w:w="5612"/>
      </w:tblGrid>
      <w:tr w:rsidR="00417F6D" w:rsidRPr="000755F6" w14:paraId="5B974F13" w14:textId="77777777" w:rsidTr="008B16FA">
        <w:trPr>
          <w:cnfStyle w:val="100000000000" w:firstRow="1" w:lastRow="0" w:firstColumn="0" w:lastColumn="0" w:oddVBand="0" w:evenVBand="0" w:oddHBand="0" w:evenHBand="0" w:firstRowFirstColumn="0" w:firstRowLastColumn="0" w:lastRowFirstColumn="0" w:lastRowLastColumn="0"/>
        </w:trPr>
        <w:tc>
          <w:tcPr>
            <w:tcW w:w="4759" w:type="dxa"/>
          </w:tcPr>
          <w:p w14:paraId="4A4185A1" w14:textId="50ED4B6E" w:rsidR="004A43F3" w:rsidRPr="00C438A0" w:rsidRDefault="006A79E3" w:rsidP="00347750">
            <w:pPr>
              <w:pStyle w:val="HWNormalText"/>
              <w:rPr>
                <w:b/>
                <w:bCs/>
              </w:rPr>
            </w:pPr>
            <w:r w:rsidRPr="00C438A0">
              <w:rPr>
                <w:b/>
                <w:bCs/>
              </w:rPr>
              <w:t>Service/organization</w:t>
            </w:r>
          </w:p>
        </w:tc>
        <w:tc>
          <w:tcPr>
            <w:tcW w:w="5579" w:type="dxa"/>
          </w:tcPr>
          <w:p w14:paraId="4EB046C2" w14:textId="6350D7B8" w:rsidR="004A43F3" w:rsidRPr="00C438A0" w:rsidRDefault="006A79E3" w:rsidP="00347750">
            <w:pPr>
              <w:pStyle w:val="HWNormalText"/>
              <w:rPr>
                <w:b/>
                <w:bCs/>
              </w:rPr>
            </w:pPr>
            <w:r w:rsidRPr="00C438A0">
              <w:rPr>
                <w:b/>
                <w:bCs/>
              </w:rPr>
              <w:t>Contact details</w:t>
            </w:r>
            <w:r w:rsidR="00D07D55">
              <w:rPr>
                <w:b/>
                <w:bCs/>
              </w:rPr>
              <w:t xml:space="preserve"> and links</w:t>
            </w:r>
          </w:p>
        </w:tc>
      </w:tr>
      <w:tr w:rsidR="006A54C5" w:rsidRPr="000755F6" w14:paraId="550CB99F" w14:textId="77777777" w:rsidTr="008B16FA">
        <w:trPr>
          <w:cnfStyle w:val="000000100000" w:firstRow="0" w:lastRow="0" w:firstColumn="0" w:lastColumn="0" w:oddVBand="0" w:evenVBand="0" w:oddHBand="1" w:evenHBand="0" w:firstRowFirstColumn="0" w:firstRowLastColumn="0" w:lastRowFirstColumn="0" w:lastRowLastColumn="0"/>
        </w:trPr>
        <w:tc>
          <w:tcPr>
            <w:tcW w:w="4759" w:type="dxa"/>
          </w:tcPr>
          <w:p w14:paraId="38B31810" w14:textId="057A61EF" w:rsidR="006A54C5" w:rsidRPr="00AF40F0" w:rsidRDefault="008B16FA" w:rsidP="00E45E90">
            <w:pPr>
              <w:pStyle w:val="HWNormalText"/>
            </w:pPr>
            <w:r>
              <w:t>You should always try to contact your GP surgery using their contact details that are published on their website. If you are experiencing difficulties booking appointments over the phone, there are some applications that can be downloaded on your smartphone – they allow you to book appointments online.</w:t>
            </w:r>
            <w:r w:rsidR="00D07D55">
              <w:t xml:space="preserve"> Links are provided here </w:t>
            </w:r>
            <w:r w:rsidR="00D07D55">
              <w:sym w:font="Symbol" w:char="F0AE"/>
            </w:r>
          </w:p>
        </w:tc>
        <w:tc>
          <w:tcPr>
            <w:tcW w:w="5579" w:type="dxa"/>
          </w:tcPr>
          <w:p w14:paraId="781BCB8C" w14:textId="0C44A47D" w:rsidR="001632F7" w:rsidRDefault="00D07D55" w:rsidP="002A1C03">
            <w:pPr>
              <w:pStyle w:val="HWNormalText"/>
              <w:rPr>
                <w:b/>
                <w:bCs/>
              </w:rPr>
            </w:pPr>
            <w:hyperlink r:id="rId17" w:history="1">
              <w:r w:rsidR="001632F7" w:rsidRPr="00D07D55">
                <w:rPr>
                  <w:rStyle w:val="Hyperlink"/>
                  <w:b/>
                  <w:bCs/>
                </w:rPr>
                <w:t>NHS app</w:t>
              </w:r>
            </w:hyperlink>
          </w:p>
          <w:p w14:paraId="582E6A0A" w14:textId="430BC26D" w:rsidR="006A54C5" w:rsidRDefault="00D07D55" w:rsidP="002A1C03">
            <w:pPr>
              <w:pStyle w:val="HWNormalText"/>
            </w:pPr>
            <w:hyperlink r:id="rId18" w:history="1">
              <w:r w:rsidR="008B16FA" w:rsidRPr="00D07D55">
                <w:rPr>
                  <w:rStyle w:val="Hyperlink"/>
                  <w:b/>
                  <w:bCs/>
                </w:rPr>
                <w:t>My GP app</w:t>
              </w:r>
            </w:hyperlink>
            <w:r w:rsidR="008B16FA">
              <w:t xml:space="preserve"> </w:t>
            </w:r>
          </w:p>
          <w:p w14:paraId="2BBD796A" w14:textId="42230563" w:rsidR="00D07D55" w:rsidRDefault="00D07D55" w:rsidP="002A1C03">
            <w:pPr>
              <w:pStyle w:val="HWNormalText"/>
              <w:rPr>
                <w:b/>
                <w:bCs/>
              </w:rPr>
            </w:pPr>
            <w:hyperlink r:id="rId19" w:history="1">
              <w:r w:rsidRPr="00D07D55">
                <w:rPr>
                  <w:rStyle w:val="Hyperlink"/>
                  <w:b/>
                  <w:bCs/>
                </w:rPr>
                <w:t>Patient access app</w:t>
              </w:r>
            </w:hyperlink>
          </w:p>
          <w:p w14:paraId="54927770" w14:textId="11FCF7AE" w:rsidR="0027033C" w:rsidRDefault="0027033C" w:rsidP="002A1C03">
            <w:pPr>
              <w:pStyle w:val="HWNormalText"/>
              <w:rPr>
                <w:b/>
                <w:bCs/>
              </w:rPr>
            </w:pPr>
          </w:p>
          <w:p w14:paraId="30B68895" w14:textId="27233315" w:rsidR="0027033C" w:rsidRPr="0027033C" w:rsidRDefault="0027033C" w:rsidP="002A1C03">
            <w:pPr>
              <w:pStyle w:val="HWNormalText"/>
            </w:pPr>
            <w:r>
              <w:t xml:space="preserve">More information on online services can be found </w:t>
            </w:r>
            <w:hyperlink r:id="rId20" w:history="1">
              <w:r w:rsidRPr="0027033C">
                <w:rPr>
                  <w:rStyle w:val="Hyperlink"/>
                </w:rPr>
                <w:t>here.</w:t>
              </w:r>
            </w:hyperlink>
          </w:p>
          <w:p w14:paraId="49AEE179" w14:textId="147E9BDF" w:rsidR="008B16FA" w:rsidRPr="00C5495E" w:rsidRDefault="008B16FA" w:rsidP="00D07D55">
            <w:pPr>
              <w:pStyle w:val="HWNormalText"/>
            </w:pPr>
          </w:p>
        </w:tc>
      </w:tr>
      <w:tr w:rsidR="00D07D55" w:rsidRPr="000755F6" w14:paraId="71EC1D17" w14:textId="77777777" w:rsidTr="008B16FA">
        <w:trPr>
          <w:cnfStyle w:val="000000010000" w:firstRow="0" w:lastRow="0" w:firstColumn="0" w:lastColumn="0" w:oddVBand="0" w:evenVBand="0" w:oddHBand="0" w:evenHBand="1" w:firstRowFirstColumn="0" w:firstRowLastColumn="0" w:lastRowFirstColumn="0" w:lastRowLastColumn="0"/>
        </w:trPr>
        <w:tc>
          <w:tcPr>
            <w:tcW w:w="4759" w:type="dxa"/>
          </w:tcPr>
          <w:p w14:paraId="3F1C7B0C" w14:textId="22410C88" w:rsidR="00D07D55" w:rsidRDefault="00D07D55" w:rsidP="00D07D55">
            <w:pPr>
              <w:pStyle w:val="HWNormalText"/>
            </w:pPr>
            <w:r w:rsidRPr="009B1F5C">
              <w:rPr>
                <w:b/>
                <w:bCs/>
              </w:rPr>
              <w:t>Use E-consults</w:t>
            </w:r>
            <w:r w:rsidRPr="009B1F5C">
              <w:t>. These are where you fill out a form online and are asked a series of questions based on what the issue is. A GP should read it within two to three days and can respond with an answer, call you or arrange a face-to-face consultation if necessary. E-consults allow you to upload pictures of rashes or moles or other issues they think need to be looked at.</w:t>
            </w:r>
          </w:p>
        </w:tc>
        <w:tc>
          <w:tcPr>
            <w:tcW w:w="5579" w:type="dxa"/>
          </w:tcPr>
          <w:p w14:paraId="49F2C6CE" w14:textId="77777777" w:rsidR="00D07D55" w:rsidRDefault="00D07D55" w:rsidP="00D07D55">
            <w:pPr>
              <w:pStyle w:val="HWNormalText"/>
              <w:rPr>
                <w:noProof/>
              </w:rPr>
            </w:pPr>
          </w:p>
          <w:p w14:paraId="42A93F3F" w14:textId="1F097C50" w:rsidR="00D07D55" w:rsidRDefault="00D07D55" w:rsidP="00D07D55">
            <w:pPr>
              <w:pStyle w:val="HWNormalText"/>
              <w:rPr>
                <w:b/>
                <w:bCs/>
              </w:rPr>
            </w:pPr>
            <w:r>
              <w:rPr>
                <w:noProof/>
              </w:rPr>
              <w:drawing>
                <wp:anchor distT="0" distB="0" distL="114300" distR="114300" simplePos="0" relativeHeight="251663872" behindDoc="0" locked="0" layoutInCell="1" allowOverlap="1" wp14:anchorId="4285ECD2" wp14:editId="66CE9A7C">
                  <wp:simplePos x="0" y="0"/>
                  <wp:positionH relativeFrom="column">
                    <wp:posOffset>136525</wp:posOffset>
                  </wp:positionH>
                  <wp:positionV relativeFrom="paragraph">
                    <wp:posOffset>482600</wp:posOffset>
                  </wp:positionV>
                  <wp:extent cx="2184400" cy="977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20807" t="26318" r="25353" b="29534"/>
                          <a:stretch/>
                        </pic:blipFill>
                        <pic:spPr bwMode="auto">
                          <a:xfrm rot="10800000" flipH="1" flipV="1">
                            <a:off x="0" y="0"/>
                            <a:ext cx="218440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The online form will be on your GP surgery`s website:</w:t>
            </w:r>
          </w:p>
        </w:tc>
      </w:tr>
      <w:tr w:rsidR="00D07D55" w:rsidRPr="000755F6" w14:paraId="2CBD48C5" w14:textId="77777777" w:rsidTr="008B16FA">
        <w:trPr>
          <w:cnfStyle w:val="000000100000" w:firstRow="0" w:lastRow="0" w:firstColumn="0" w:lastColumn="0" w:oddVBand="0" w:evenVBand="0" w:oddHBand="1" w:evenHBand="0" w:firstRowFirstColumn="0" w:firstRowLastColumn="0" w:lastRowFirstColumn="0" w:lastRowLastColumn="0"/>
        </w:trPr>
        <w:tc>
          <w:tcPr>
            <w:tcW w:w="4759" w:type="dxa"/>
          </w:tcPr>
          <w:p w14:paraId="56C17A7F" w14:textId="0096ABF7" w:rsidR="00D07D55" w:rsidRPr="000755F6" w:rsidRDefault="00D07D55" w:rsidP="00D07D55">
            <w:pPr>
              <w:pStyle w:val="HWNormalText"/>
            </w:pPr>
            <w:r w:rsidRPr="00AF40F0">
              <w:t xml:space="preserve">If you live in Barking and Dagenham, Havering or Redbridge, you can book urgent </w:t>
            </w:r>
            <w:r>
              <w:t xml:space="preserve">face to face </w:t>
            </w:r>
            <w:r w:rsidRPr="00AF40F0">
              <w:t xml:space="preserve">appointments by calling the </w:t>
            </w:r>
            <w:r w:rsidRPr="00EE6E61">
              <w:rPr>
                <w:b/>
                <w:bCs/>
              </w:rPr>
              <w:t>GP hubs</w:t>
            </w:r>
            <w:r w:rsidRPr="00AF40F0">
              <w:t xml:space="preserve"> booking hotline</w:t>
            </w:r>
            <w:r>
              <w:t xml:space="preserve"> </w:t>
            </w:r>
            <w:r w:rsidRPr="006A79E3">
              <w:t>(open from 8am-8pm)</w:t>
            </w:r>
          </w:p>
        </w:tc>
        <w:tc>
          <w:tcPr>
            <w:tcW w:w="5579" w:type="dxa"/>
          </w:tcPr>
          <w:p w14:paraId="578537DF" w14:textId="717C262B" w:rsidR="00D07D55" w:rsidRPr="000755F6" w:rsidRDefault="00D07D55" w:rsidP="00D07D55">
            <w:pPr>
              <w:pStyle w:val="HWNormalText"/>
            </w:pPr>
            <w:r w:rsidRPr="00C5495E">
              <w:t>020 3770 1888</w:t>
            </w:r>
          </w:p>
        </w:tc>
      </w:tr>
      <w:tr w:rsidR="00D07D55" w:rsidRPr="000755F6" w14:paraId="70E912FC" w14:textId="77777777" w:rsidTr="008B16FA">
        <w:trPr>
          <w:cnfStyle w:val="000000010000" w:firstRow="0" w:lastRow="0" w:firstColumn="0" w:lastColumn="0" w:oddVBand="0" w:evenVBand="0" w:oddHBand="0" w:evenHBand="1" w:firstRowFirstColumn="0" w:firstRowLastColumn="0" w:lastRowFirstColumn="0" w:lastRowLastColumn="0"/>
        </w:trPr>
        <w:tc>
          <w:tcPr>
            <w:tcW w:w="4759" w:type="dxa"/>
          </w:tcPr>
          <w:p w14:paraId="749D7079" w14:textId="7B5500E2" w:rsidR="00D07D55" w:rsidRPr="000755F6" w:rsidRDefault="00D07D55" w:rsidP="00D07D55">
            <w:pPr>
              <w:pStyle w:val="HWNormalText"/>
            </w:pPr>
            <w:r w:rsidRPr="008B21CE">
              <w:t xml:space="preserve">If you have an urgent medical issue and you're not sure what to do, call 111 or visit NHS 111 online. </w:t>
            </w:r>
            <w:r w:rsidRPr="00965834">
              <w:rPr>
                <w:b/>
                <w:bCs/>
              </w:rPr>
              <w:t>NHS 111</w:t>
            </w:r>
            <w:r w:rsidRPr="008B21CE">
              <w:t xml:space="preserve"> is available 24 hours a day, seven days a week. A trained adviser can give you advice or connect you to a nurse, doctor, pharmacist, paramedic, or dentist.</w:t>
            </w:r>
          </w:p>
        </w:tc>
        <w:tc>
          <w:tcPr>
            <w:tcW w:w="5579" w:type="dxa"/>
          </w:tcPr>
          <w:p w14:paraId="05541467" w14:textId="77777777" w:rsidR="00D07D55" w:rsidRDefault="00D07D55" w:rsidP="00D07D55">
            <w:pPr>
              <w:pStyle w:val="HWNormalText"/>
            </w:pPr>
            <w:r>
              <w:t>111</w:t>
            </w:r>
          </w:p>
          <w:p w14:paraId="43834BCE" w14:textId="77777777" w:rsidR="00D07D55" w:rsidRDefault="00D07D55" w:rsidP="00D07D55">
            <w:pPr>
              <w:pStyle w:val="HWNormalText"/>
              <w:rPr>
                <w:noProof/>
              </w:rPr>
            </w:pPr>
          </w:p>
          <w:p w14:paraId="56F0DA07" w14:textId="7636D0B1" w:rsidR="00D07D55" w:rsidRPr="000755F6" w:rsidRDefault="00D07D55" w:rsidP="00D07D55">
            <w:pPr>
              <w:pStyle w:val="HWNormalText"/>
            </w:pPr>
            <w:r w:rsidRPr="00965834">
              <w:t>https://111.nhs.uk/</w:t>
            </w:r>
          </w:p>
        </w:tc>
      </w:tr>
      <w:tr w:rsidR="00D07D55" w:rsidRPr="000755F6" w14:paraId="691C76A7" w14:textId="77777777" w:rsidTr="008B16FA">
        <w:trPr>
          <w:cnfStyle w:val="000000100000" w:firstRow="0" w:lastRow="0" w:firstColumn="0" w:lastColumn="0" w:oddVBand="0" w:evenVBand="0" w:oddHBand="1" w:evenHBand="0" w:firstRowFirstColumn="0" w:firstRowLastColumn="0" w:lastRowFirstColumn="0" w:lastRowLastColumn="0"/>
        </w:trPr>
        <w:tc>
          <w:tcPr>
            <w:tcW w:w="4759" w:type="dxa"/>
          </w:tcPr>
          <w:p w14:paraId="388A4296" w14:textId="20EF3935" w:rsidR="00D07D55" w:rsidRPr="000755F6" w:rsidRDefault="00D07D55" w:rsidP="00D07D55">
            <w:pPr>
              <w:pStyle w:val="HWNormalText"/>
            </w:pPr>
          </w:p>
        </w:tc>
        <w:tc>
          <w:tcPr>
            <w:tcW w:w="5579" w:type="dxa"/>
          </w:tcPr>
          <w:p w14:paraId="2B2943D8" w14:textId="23D45EBD" w:rsidR="00D07D55" w:rsidRPr="000755F6" w:rsidRDefault="00D07D55" w:rsidP="00D07D55">
            <w:pPr>
              <w:pStyle w:val="HWNormalText"/>
            </w:pPr>
          </w:p>
        </w:tc>
      </w:tr>
      <w:tr w:rsidR="00D07D55" w:rsidRPr="000755F6" w14:paraId="48BBAD6F" w14:textId="77777777" w:rsidTr="008B16FA">
        <w:trPr>
          <w:cnfStyle w:val="000000010000" w:firstRow="0" w:lastRow="0" w:firstColumn="0" w:lastColumn="0" w:oddVBand="0" w:evenVBand="0" w:oddHBand="0" w:evenHBand="1" w:firstRowFirstColumn="0" w:firstRowLastColumn="0" w:lastRowFirstColumn="0" w:lastRowLastColumn="0"/>
        </w:trPr>
        <w:tc>
          <w:tcPr>
            <w:tcW w:w="4759" w:type="dxa"/>
          </w:tcPr>
          <w:p w14:paraId="0400E5EC" w14:textId="002C80CD" w:rsidR="00D07D55" w:rsidRPr="000755F6" w:rsidRDefault="00D07D55" w:rsidP="00D07D55">
            <w:pPr>
              <w:pStyle w:val="HWNormalText"/>
            </w:pPr>
            <w:r w:rsidRPr="002367BC">
              <w:lastRenderedPageBreak/>
              <w:t xml:space="preserve">Use your </w:t>
            </w:r>
            <w:r w:rsidRPr="00D03AA6">
              <w:rPr>
                <w:b/>
                <w:bCs/>
              </w:rPr>
              <w:t>pharmacist</w:t>
            </w:r>
            <w:r w:rsidRPr="002367BC">
              <w:t>. They are healthcare experts, and pharmacists train for five years. In addition to giving out medicines, they are trained in managing minor illnesses and providing health and wellbeing advice. Pharmacists are often worth consulting — and if they can’t help you, they’ll let you know straight away so you can make an appointment with a doctor.</w:t>
            </w:r>
          </w:p>
        </w:tc>
        <w:tc>
          <w:tcPr>
            <w:tcW w:w="5579" w:type="dxa"/>
          </w:tcPr>
          <w:p w14:paraId="09EE8B93" w14:textId="77777777" w:rsidR="00D07D55" w:rsidRDefault="00D07D55" w:rsidP="00D07D55">
            <w:pPr>
              <w:pStyle w:val="HWNormalText"/>
            </w:pPr>
            <w:r>
              <w:t>You can find your nearest pharmacy and it`s contact details by using this online search tool:</w:t>
            </w:r>
          </w:p>
          <w:p w14:paraId="34F990EF" w14:textId="69DF42B5" w:rsidR="00D07D55" w:rsidRDefault="00D07D55" w:rsidP="00D07D55">
            <w:pPr>
              <w:pStyle w:val="HWNormalText"/>
            </w:pPr>
            <w:hyperlink r:id="rId22" w:history="1">
              <w:r w:rsidRPr="00126402">
                <w:rPr>
                  <w:rStyle w:val="Hyperlink"/>
                </w:rPr>
                <w:t>https://www.nhs.uk/service-search/pharmacy/find-a-pharmacy</w:t>
              </w:r>
            </w:hyperlink>
          </w:p>
          <w:p w14:paraId="31814EE0" w14:textId="7DE0D287" w:rsidR="00D07D55" w:rsidRPr="000755F6" w:rsidRDefault="00D07D55" w:rsidP="00D07D55">
            <w:pPr>
              <w:pStyle w:val="HWNormalText"/>
            </w:pPr>
          </w:p>
        </w:tc>
      </w:tr>
    </w:tbl>
    <w:p w14:paraId="5E8EF0CA" w14:textId="77777777" w:rsidR="008C3B84" w:rsidRPr="000755F6" w:rsidRDefault="008C3B84" w:rsidP="004A43F3">
      <w:pPr>
        <w:pStyle w:val="HWNormalText"/>
      </w:pPr>
    </w:p>
    <w:p w14:paraId="18F4FF38" w14:textId="2E5DAA1D" w:rsidR="004A43F3" w:rsidRPr="000755F6" w:rsidRDefault="00F51F44" w:rsidP="003D374B">
      <w:pPr>
        <w:pStyle w:val="HWNormalText"/>
        <w:jc w:val="both"/>
        <w:sectPr w:rsidR="004A43F3" w:rsidRPr="000755F6" w:rsidSect="00762252">
          <w:headerReference w:type="default" r:id="rId23"/>
          <w:footerReference w:type="default" r:id="rId24"/>
          <w:pgSz w:w="11906" w:h="16838" w:code="9"/>
          <w:pgMar w:top="851" w:right="737" w:bottom="1304" w:left="737" w:header="624" w:footer="454" w:gutter="0"/>
          <w:pgNumType w:start="1"/>
          <w:cols w:space="708"/>
          <w:docGrid w:linePitch="360"/>
        </w:sectPr>
      </w:pPr>
      <w:r w:rsidRPr="00F51F44">
        <w:t xml:space="preserve">Healthwatch Barking and Dagenham provide confidential support and free information to help you understand your options and get the help you need regarding health and social care. Please contact us by telephone </w:t>
      </w:r>
      <w:r w:rsidRPr="0027033C">
        <w:rPr>
          <w:b/>
          <w:bCs/>
        </w:rPr>
        <w:t>tel:08002985331</w:t>
      </w:r>
      <w:r w:rsidRPr="0027033C">
        <w:t>,</w:t>
      </w:r>
      <w:r w:rsidRPr="00F51F44">
        <w:t xml:space="preserve"> or email </w:t>
      </w:r>
      <w:r w:rsidRPr="0027033C">
        <w:rPr>
          <w:b/>
          <w:bCs/>
        </w:rPr>
        <w:t>info@healthwatchbarkinganddagenham.co.uk</w:t>
      </w:r>
    </w:p>
    <w:p w14:paraId="09EFBC19" w14:textId="0288B179" w:rsidR="004A43F3" w:rsidRPr="000755F6" w:rsidRDefault="003D374B" w:rsidP="003D374B">
      <w:pPr>
        <w:pStyle w:val="HWEndPage1"/>
      </w:pPr>
      <w:r>
        <w:rPr>
          <w:noProof/>
        </w:rPr>
        <w:lastRenderedPageBreak/>
        <w:drawing>
          <wp:anchor distT="0" distB="0" distL="114300" distR="114300" simplePos="0" relativeHeight="251661824" behindDoc="1" locked="0" layoutInCell="1" allowOverlap="1" wp14:anchorId="5457BB24" wp14:editId="07A3E31A">
            <wp:simplePos x="0" y="0"/>
            <wp:positionH relativeFrom="margin">
              <wp:align>right</wp:align>
            </wp:positionH>
            <wp:positionV relativeFrom="paragraph">
              <wp:posOffset>85725</wp:posOffset>
            </wp:positionV>
            <wp:extent cx="2451100" cy="780415"/>
            <wp:effectExtent l="0" t="0" r="6350" b="635"/>
            <wp:wrapTight wrapText="bothSides">
              <wp:wrapPolygon edited="0">
                <wp:start x="0" y="0"/>
                <wp:lineTo x="0" y="8436"/>
                <wp:lineTo x="2518" y="8436"/>
                <wp:lineTo x="11416" y="16872"/>
                <wp:lineTo x="11416" y="20563"/>
                <wp:lineTo x="11751" y="21090"/>
                <wp:lineTo x="13766" y="21090"/>
                <wp:lineTo x="15445" y="21090"/>
                <wp:lineTo x="21488" y="21090"/>
                <wp:lineTo x="21488" y="2109"/>
                <wp:lineTo x="20649"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1100" cy="780415"/>
                    </a:xfrm>
                    <a:prstGeom prst="rect">
                      <a:avLst/>
                    </a:prstGeom>
                    <a:noFill/>
                  </pic:spPr>
                </pic:pic>
              </a:graphicData>
            </a:graphic>
            <wp14:sizeRelH relativeFrom="page">
              <wp14:pctWidth>0</wp14:pctWidth>
            </wp14:sizeRelH>
            <wp14:sizeRelV relativeFrom="page">
              <wp14:pctHeight>0</wp14:pctHeight>
            </wp14:sizeRelV>
          </wp:anchor>
        </w:drawing>
      </w:r>
      <w:r w:rsidR="004A43F3" w:rsidRPr="000755F6">
        <w:t xml:space="preserve">Healthwatch </w:t>
      </w:r>
      <w:r>
        <w:t>Barking and Dagenham</w:t>
      </w:r>
    </w:p>
    <w:p w14:paraId="54B7E3CA" w14:textId="77777777" w:rsidR="00690077" w:rsidRDefault="00690077" w:rsidP="00690077">
      <w:pPr>
        <w:pStyle w:val="HWEndPage2"/>
      </w:pPr>
      <w:r>
        <w:t>Lifeline House</w:t>
      </w:r>
    </w:p>
    <w:p w14:paraId="2DAAAB5A" w14:textId="77777777" w:rsidR="00690077" w:rsidRDefault="00690077" w:rsidP="00690077">
      <w:pPr>
        <w:pStyle w:val="HWEndPage2"/>
      </w:pPr>
      <w:r>
        <w:t>25 Neville Road</w:t>
      </w:r>
    </w:p>
    <w:p w14:paraId="6DC81344" w14:textId="077C75EA" w:rsidR="006147DF" w:rsidRPr="000755F6" w:rsidRDefault="00690077" w:rsidP="00690077">
      <w:pPr>
        <w:pStyle w:val="HWEndPage2"/>
      </w:pPr>
      <w:r>
        <w:t>Dagenham, Essex RM8 3QS</w:t>
      </w:r>
    </w:p>
    <w:p w14:paraId="2F981A87" w14:textId="37726066" w:rsidR="004A43F3" w:rsidRPr="000755F6" w:rsidRDefault="0023215B" w:rsidP="006147DF">
      <w:pPr>
        <w:pStyle w:val="HWEndPage3"/>
      </w:pPr>
      <w:r w:rsidRPr="0023215B">
        <w:t>https://www.healthwatchbarkinganddagenham.co.uk/</w:t>
      </w:r>
      <w:r w:rsidR="00BB0E31" w:rsidRPr="000755F6">
        <w:rPr>
          <w:noProof/>
          <w:lang w:eastAsia="en-GB"/>
        </w:rPr>
        <w:drawing>
          <wp:anchor distT="0" distB="0" distL="114300" distR="114300" simplePos="0" relativeHeight="251653632" behindDoc="1" locked="1" layoutInCell="1" allowOverlap="1" wp14:anchorId="0583C237" wp14:editId="2ABE622B">
            <wp:simplePos x="0" y="0"/>
            <wp:positionH relativeFrom="page">
              <wp:posOffset>0</wp:posOffset>
            </wp:positionH>
            <wp:positionV relativeFrom="page">
              <wp:posOffset>0</wp:posOffset>
            </wp:positionV>
            <wp:extent cx="7562850" cy="10696575"/>
            <wp:effectExtent l="19050" t="0" r="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26" cstate="print"/>
                    <a:stretch>
                      <a:fillRect/>
                    </a:stretch>
                  </pic:blipFill>
                  <pic:spPr>
                    <a:xfrm>
                      <a:off x="0" y="0"/>
                      <a:ext cx="7562850" cy="10696575"/>
                    </a:xfrm>
                    <a:prstGeom prst="rect">
                      <a:avLst/>
                    </a:prstGeom>
                  </pic:spPr>
                </pic:pic>
              </a:graphicData>
            </a:graphic>
          </wp:anchor>
        </w:drawing>
      </w:r>
    </w:p>
    <w:p w14:paraId="793E8C93" w14:textId="438358AB" w:rsidR="004A43F3" w:rsidRPr="000755F6" w:rsidRDefault="004A43F3" w:rsidP="006147DF">
      <w:pPr>
        <w:pStyle w:val="HWEndPage3"/>
      </w:pPr>
      <w:r w:rsidRPr="000755F6">
        <w:t xml:space="preserve">t: </w:t>
      </w:r>
      <w:r w:rsidR="000B16A6" w:rsidRPr="000B16A6">
        <w:t>tel:08002985331</w:t>
      </w:r>
    </w:p>
    <w:p w14:paraId="6FA3D3F1" w14:textId="5D83799D" w:rsidR="004A43F3" w:rsidRPr="000755F6" w:rsidRDefault="004A43F3" w:rsidP="006147DF">
      <w:pPr>
        <w:pStyle w:val="HWEndPage3"/>
      </w:pPr>
      <w:r w:rsidRPr="000755F6">
        <w:t xml:space="preserve">e: </w:t>
      </w:r>
      <w:r w:rsidR="00A215C0" w:rsidRPr="00A215C0">
        <w:t>info@healthwatchbarkinganddagenham.co.uk</w:t>
      </w:r>
    </w:p>
    <w:p w14:paraId="7B06BE28" w14:textId="75913C5C" w:rsidR="004A43F3" w:rsidRPr="000755F6" w:rsidRDefault="006147DF" w:rsidP="006147DF">
      <w:pPr>
        <w:pStyle w:val="HWEndPage3"/>
      </w:pPr>
      <w:r w:rsidRPr="000755F6">
        <w:rPr>
          <w:noProof/>
          <w:lang w:eastAsia="en-GB"/>
        </w:rPr>
        <w:drawing>
          <wp:anchor distT="0" distB="0" distL="0" distR="36195" simplePos="0" relativeHeight="251658752" behindDoc="0" locked="0" layoutInCell="1" allowOverlap="1" wp14:anchorId="6450E3BE" wp14:editId="0E3DCA77">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7" cstate="print"/>
                    <a:srcRect l="5870" t="27907" r="92093" b="70525"/>
                    <a:stretch>
                      <a:fillRect/>
                    </a:stretch>
                  </pic:blipFill>
                  <pic:spPr>
                    <a:xfrm>
                      <a:off x="0" y="0"/>
                      <a:ext cx="133350" cy="142875"/>
                    </a:xfrm>
                    <a:prstGeom prst="rect">
                      <a:avLst/>
                    </a:prstGeom>
                  </pic:spPr>
                </pic:pic>
              </a:graphicData>
            </a:graphic>
          </wp:anchor>
        </w:drawing>
      </w:r>
      <w:r w:rsidRPr="000755F6">
        <w:t xml:space="preserve"> </w:t>
      </w:r>
      <w:r w:rsidR="00AC7C42" w:rsidRPr="00AC7C42">
        <w:t>@HealthwatchBD</w:t>
      </w:r>
    </w:p>
    <w:p w14:paraId="4CB9FD3E" w14:textId="67483108" w:rsidR="004A43F3" w:rsidRPr="000755F6" w:rsidRDefault="006147DF" w:rsidP="006147DF">
      <w:pPr>
        <w:pStyle w:val="HWEndPage3"/>
      </w:pPr>
      <w:r w:rsidRPr="000755F6">
        <w:rPr>
          <w:noProof/>
          <w:lang w:eastAsia="en-GB"/>
        </w:rPr>
        <w:drawing>
          <wp:anchor distT="0" distB="0" distL="0" distR="36195" simplePos="0" relativeHeight="251659776" behindDoc="0" locked="0" layoutInCell="1" allowOverlap="1" wp14:anchorId="738CF3EB" wp14:editId="01768386">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7" cstate="print"/>
                    <a:srcRect l="5823" t="30215" r="92128" b="68271"/>
                    <a:stretch>
                      <a:fillRect/>
                    </a:stretch>
                  </pic:blipFill>
                  <pic:spPr>
                    <a:xfrm>
                      <a:off x="0" y="0"/>
                      <a:ext cx="138113" cy="142875"/>
                    </a:xfrm>
                    <a:prstGeom prst="rect">
                      <a:avLst/>
                    </a:prstGeom>
                  </pic:spPr>
                </pic:pic>
              </a:graphicData>
            </a:graphic>
          </wp:anchor>
        </w:drawing>
      </w:r>
      <w:r w:rsidRPr="000755F6">
        <w:t xml:space="preserve"> </w:t>
      </w:r>
      <w:r w:rsidR="00901008" w:rsidRPr="00901008">
        <w:t>https://www.facebook.com/healthwatch.bd</w:t>
      </w:r>
    </w:p>
    <w:sectPr w:rsidR="004A43F3" w:rsidRPr="000755F6" w:rsidSect="006147DF">
      <w:headerReference w:type="default" r:id="rId28"/>
      <w:footerReference w:type="default" r:id="rId29"/>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77A3" w14:textId="77777777" w:rsidR="00971765" w:rsidRDefault="00971765" w:rsidP="007D1518">
      <w:r>
        <w:separator/>
      </w:r>
    </w:p>
  </w:endnote>
  <w:endnote w:type="continuationSeparator" w:id="0">
    <w:p w14:paraId="17BE62E5" w14:textId="77777777" w:rsidR="00971765" w:rsidRDefault="00971765"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Poppins Light">
    <w:altName w:val="Poppins Light"/>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F08" w14:textId="0878EA6E" w:rsidR="0056216C" w:rsidRDefault="0056216C">
    <w:pPr>
      <w:pStyle w:val="Footer"/>
    </w:pPr>
    <w:r>
      <w:t>How do I get to see my GP face to 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0EF7" w14:textId="77777777" w:rsidR="000A4351" w:rsidRPr="000A4351" w:rsidRDefault="000A4351" w:rsidP="00744DAC">
    <w:pPr>
      <w:pStyle w:val="Footer"/>
      <w:tabs>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5811" w14:textId="11787D90" w:rsidR="00A5113A" w:rsidRDefault="00EF51BA">
    <w:pPr>
      <w:pStyle w:val="Footer"/>
    </w:pPr>
    <w:r>
      <w:rPr>
        <w:noProof/>
        <w:lang w:eastAsia="en-GB"/>
      </w:rPr>
      <mc:AlternateContent>
        <mc:Choice Requires="wps">
          <w:drawing>
            <wp:anchor distT="0" distB="0" distL="114300" distR="114300" simplePos="0" relativeHeight="251660288" behindDoc="0" locked="1" layoutInCell="1" allowOverlap="1" wp14:anchorId="4C55A235" wp14:editId="0C3CA4CC">
              <wp:simplePos x="0" y="0"/>
              <wp:positionH relativeFrom="page">
                <wp:posOffset>459105</wp:posOffset>
              </wp:positionH>
              <wp:positionV relativeFrom="page">
                <wp:posOffset>9955530</wp:posOffset>
              </wp:positionV>
              <wp:extent cx="664210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793FC"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" strokecolor="#004c6b [3213]" strokeweight="1pt">
              <o:lock v:ext="edit" shapetype="f"/>
              <w10:wrap anchorx="page" anchory="page"/>
              <w10:anchorlock/>
            </v:shape>
          </w:pict>
        </mc:Fallback>
      </mc:AlternateContent>
    </w:r>
    <w:r w:rsidR="0056216C">
      <w:t>How do I get to see my GP face to face?</w:t>
    </w:r>
    <w:r w:rsidR="00F85233">
      <w:t xml:space="preserve"> </w:t>
    </w:r>
  </w:p>
  <w:p w14:paraId="60087EAF" w14:textId="77777777" w:rsidR="004E3B85" w:rsidRPr="004E3B85" w:rsidRDefault="00607410"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91DD6">
      <w:rPr>
        <w:rStyle w:val="PageNumber"/>
        <w:noProof/>
      </w:rPr>
      <w:t>6</w:t>
    </w:r>
    <w:r w:rsidRPr="004E3B85">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78D8"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569D" w14:textId="77777777" w:rsidR="00971765" w:rsidRDefault="00971765" w:rsidP="007D1518">
      <w:r>
        <w:separator/>
      </w:r>
    </w:p>
  </w:footnote>
  <w:footnote w:type="continuationSeparator" w:id="0">
    <w:p w14:paraId="6F7CAF35" w14:textId="77777777" w:rsidR="00971765" w:rsidRDefault="00971765"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9680" w14:textId="77777777" w:rsidR="00762252" w:rsidRDefault="00762252" w:rsidP="00762252">
    <w:pPr>
      <w:pStyle w:val="Header"/>
      <w:spacing w:after="48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CA1E"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AA57"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5241D"/>
    <w:multiLevelType w:val="hybridMultilevel"/>
    <w:tmpl w:val="13143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16cid:durableId="920915848">
    <w:abstractNumId w:val="11"/>
  </w:num>
  <w:num w:numId="2" w16cid:durableId="2134202685">
    <w:abstractNumId w:val="9"/>
  </w:num>
  <w:num w:numId="3" w16cid:durableId="1903367917">
    <w:abstractNumId w:val="7"/>
  </w:num>
  <w:num w:numId="4" w16cid:durableId="142820395">
    <w:abstractNumId w:val="6"/>
  </w:num>
  <w:num w:numId="5" w16cid:durableId="322201737">
    <w:abstractNumId w:val="5"/>
  </w:num>
  <w:num w:numId="6" w16cid:durableId="1400707094">
    <w:abstractNumId w:val="4"/>
  </w:num>
  <w:num w:numId="7" w16cid:durableId="1794202412">
    <w:abstractNumId w:val="8"/>
  </w:num>
  <w:num w:numId="8" w16cid:durableId="1854949217">
    <w:abstractNumId w:val="3"/>
  </w:num>
  <w:num w:numId="9" w16cid:durableId="2121029970">
    <w:abstractNumId w:val="2"/>
  </w:num>
  <w:num w:numId="10" w16cid:durableId="249852244">
    <w:abstractNumId w:val="1"/>
  </w:num>
  <w:num w:numId="11" w16cid:durableId="1681394803">
    <w:abstractNumId w:val="0"/>
  </w:num>
  <w:num w:numId="12" w16cid:durableId="629748419">
    <w:abstractNumId w:val="16"/>
  </w:num>
  <w:num w:numId="13" w16cid:durableId="114447066">
    <w:abstractNumId w:val="14"/>
  </w:num>
  <w:num w:numId="14" w16cid:durableId="1453790747">
    <w:abstractNumId w:val="10"/>
  </w:num>
  <w:num w:numId="15" w16cid:durableId="1223712016">
    <w:abstractNumId w:val="13"/>
  </w:num>
  <w:num w:numId="16" w16cid:durableId="1953895636">
    <w:abstractNumId w:val="12"/>
  </w:num>
  <w:num w:numId="17" w16cid:durableId="1424179686">
    <w:abstractNumId w:val="18"/>
  </w:num>
  <w:num w:numId="18" w16cid:durableId="1338071659">
    <w:abstractNumId w:val="15"/>
  </w:num>
  <w:num w:numId="19" w16cid:durableId="11388385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65"/>
    <w:rsid w:val="000016AF"/>
    <w:rsid w:val="00011A07"/>
    <w:rsid w:val="00023116"/>
    <w:rsid w:val="00034158"/>
    <w:rsid w:val="000368F0"/>
    <w:rsid w:val="00042799"/>
    <w:rsid w:val="00056E1D"/>
    <w:rsid w:val="0006241D"/>
    <w:rsid w:val="00063D7C"/>
    <w:rsid w:val="00064FF9"/>
    <w:rsid w:val="000755F6"/>
    <w:rsid w:val="0008464C"/>
    <w:rsid w:val="00091BD1"/>
    <w:rsid w:val="00092015"/>
    <w:rsid w:val="000A4351"/>
    <w:rsid w:val="000B16A6"/>
    <w:rsid w:val="000B5938"/>
    <w:rsid w:val="000C6021"/>
    <w:rsid w:val="000D072F"/>
    <w:rsid w:val="000D1281"/>
    <w:rsid w:val="000D12A5"/>
    <w:rsid w:val="000D5E1C"/>
    <w:rsid w:val="000D772D"/>
    <w:rsid w:val="000E4E21"/>
    <w:rsid w:val="00105082"/>
    <w:rsid w:val="00111E53"/>
    <w:rsid w:val="00123D5C"/>
    <w:rsid w:val="00125900"/>
    <w:rsid w:val="00125F27"/>
    <w:rsid w:val="00145E8C"/>
    <w:rsid w:val="001518C5"/>
    <w:rsid w:val="00153797"/>
    <w:rsid w:val="001632F7"/>
    <w:rsid w:val="00163642"/>
    <w:rsid w:val="00164078"/>
    <w:rsid w:val="00172A2A"/>
    <w:rsid w:val="001A0EEB"/>
    <w:rsid w:val="001B6C6E"/>
    <w:rsid w:val="001C0419"/>
    <w:rsid w:val="001C129E"/>
    <w:rsid w:val="001C4D43"/>
    <w:rsid w:val="001C5B8D"/>
    <w:rsid w:val="001D6A1C"/>
    <w:rsid w:val="001E1A11"/>
    <w:rsid w:val="001E1DE0"/>
    <w:rsid w:val="001F7792"/>
    <w:rsid w:val="002207D0"/>
    <w:rsid w:val="0023215B"/>
    <w:rsid w:val="00232593"/>
    <w:rsid w:val="002367BC"/>
    <w:rsid w:val="0024364F"/>
    <w:rsid w:val="00244DD7"/>
    <w:rsid w:val="002501B9"/>
    <w:rsid w:val="00255819"/>
    <w:rsid w:val="0027033C"/>
    <w:rsid w:val="00271A7C"/>
    <w:rsid w:val="0029313C"/>
    <w:rsid w:val="002B124C"/>
    <w:rsid w:val="002B141C"/>
    <w:rsid w:val="002D775B"/>
    <w:rsid w:val="00313417"/>
    <w:rsid w:val="00313819"/>
    <w:rsid w:val="00315FD6"/>
    <w:rsid w:val="003163F1"/>
    <w:rsid w:val="003179C6"/>
    <w:rsid w:val="003264FB"/>
    <w:rsid w:val="0033443C"/>
    <w:rsid w:val="00334EE6"/>
    <w:rsid w:val="00335A66"/>
    <w:rsid w:val="00336747"/>
    <w:rsid w:val="00340D2E"/>
    <w:rsid w:val="003424CC"/>
    <w:rsid w:val="00353EEA"/>
    <w:rsid w:val="00363040"/>
    <w:rsid w:val="00375858"/>
    <w:rsid w:val="003825F0"/>
    <w:rsid w:val="00391AA0"/>
    <w:rsid w:val="003A446F"/>
    <w:rsid w:val="003C7742"/>
    <w:rsid w:val="003D374B"/>
    <w:rsid w:val="003E0876"/>
    <w:rsid w:val="003F0F35"/>
    <w:rsid w:val="003F6DCB"/>
    <w:rsid w:val="00402106"/>
    <w:rsid w:val="00410B3D"/>
    <w:rsid w:val="00417F6D"/>
    <w:rsid w:val="004222B7"/>
    <w:rsid w:val="00427B87"/>
    <w:rsid w:val="00430F0A"/>
    <w:rsid w:val="00434080"/>
    <w:rsid w:val="00455CE1"/>
    <w:rsid w:val="00480F34"/>
    <w:rsid w:val="00483F7D"/>
    <w:rsid w:val="00490DEF"/>
    <w:rsid w:val="004928CC"/>
    <w:rsid w:val="004A43F3"/>
    <w:rsid w:val="004A4D69"/>
    <w:rsid w:val="004A6025"/>
    <w:rsid w:val="004B0E98"/>
    <w:rsid w:val="004D2A8F"/>
    <w:rsid w:val="004D2EC8"/>
    <w:rsid w:val="004E3B85"/>
    <w:rsid w:val="004F2ECE"/>
    <w:rsid w:val="00507535"/>
    <w:rsid w:val="00523EAD"/>
    <w:rsid w:val="005248C3"/>
    <w:rsid w:val="00541C35"/>
    <w:rsid w:val="00555E1C"/>
    <w:rsid w:val="0056216C"/>
    <w:rsid w:val="00562436"/>
    <w:rsid w:val="0057205B"/>
    <w:rsid w:val="0059120E"/>
    <w:rsid w:val="0059175F"/>
    <w:rsid w:val="00597AA1"/>
    <w:rsid w:val="005E11F2"/>
    <w:rsid w:val="005E2C0C"/>
    <w:rsid w:val="005E30E0"/>
    <w:rsid w:val="006037F9"/>
    <w:rsid w:val="00607410"/>
    <w:rsid w:val="006126EB"/>
    <w:rsid w:val="006147DF"/>
    <w:rsid w:val="00623E54"/>
    <w:rsid w:val="00633D55"/>
    <w:rsid w:val="0064787F"/>
    <w:rsid w:val="00654C6B"/>
    <w:rsid w:val="00690077"/>
    <w:rsid w:val="00691B86"/>
    <w:rsid w:val="00692C3D"/>
    <w:rsid w:val="006A54C5"/>
    <w:rsid w:val="006A79E3"/>
    <w:rsid w:val="006B78A0"/>
    <w:rsid w:val="006C3ACA"/>
    <w:rsid w:val="006C5E89"/>
    <w:rsid w:val="006D2FAE"/>
    <w:rsid w:val="006D5592"/>
    <w:rsid w:val="006E5CC4"/>
    <w:rsid w:val="006F6803"/>
    <w:rsid w:val="006F7A8E"/>
    <w:rsid w:val="0070477F"/>
    <w:rsid w:val="007217CC"/>
    <w:rsid w:val="00725DA6"/>
    <w:rsid w:val="0073192A"/>
    <w:rsid w:val="00733072"/>
    <w:rsid w:val="00740E0D"/>
    <w:rsid w:val="00741B29"/>
    <w:rsid w:val="00744DAC"/>
    <w:rsid w:val="00750D67"/>
    <w:rsid w:val="0075691B"/>
    <w:rsid w:val="007576FB"/>
    <w:rsid w:val="00762252"/>
    <w:rsid w:val="00762C96"/>
    <w:rsid w:val="00781B6F"/>
    <w:rsid w:val="00783C98"/>
    <w:rsid w:val="0078459F"/>
    <w:rsid w:val="00794500"/>
    <w:rsid w:val="007B2041"/>
    <w:rsid w:val="007C1380"/>
    <w:rsid w:val="007D1518"/>
    <w:rsid w:val="007D4EFC"/>
    <w:rsid w:val="007D6E33"/>
    <w:rsid w:val="007E2B37"/>
    <w:rsid w:val="007E45CE"/>
    <w:rsid w:val="00815EC4"/>
    <w:rsid w:val="008162F9"/>
    <w:rsid w:val="0082071A"/>
    <w:rsid w:val="00841516"/>
    <w:rsid w:val="008416D6"/>
    <w:rsid w:val="0084228B"/>
    <w:rsid w:val="008474B2"/>
    <w:rsid w:val="00851069"/>
    <w:rsid w:val="00875542"/>
    <w:rsid w:val="00877269"/>
    <w:rsid w:val="00884522"/>
    <w:rsid w:val="00887348"/>
    <w:rsid w:val="008A71B5"/>
    <w:rsid w:val="008B16FA"/>
    <w:rsid w:val="008B21CE"/>
    <w:rsid w:val="008C3B84"/>
    <w:rsid w:val="008C68A2"/>
    <w:rsid w:val="008C78F4"/>
    <w:rsid w:val="008D103E"/>
    <w:rsid w:val="008D14DE"/>
    <w:rsid w:val="008E5204"/>
    <w:rsid w:val="00901008"/>
    <w:rsid w:val="0090148C"/>
    <w:rsid w:val="0090247A"/>
    <w:rsid w:val="00923907"/>
    <w:rsid w:val="00923C0A"/>
    <w:rsid w:val="00931DA5"/>
    <w:rsid w:val="009434AF"/>
    <w:rsid w:val="00943F47"/>
    <w:rsid w:val="009501A8"/>
    <w:rsid w:val="00950B2C"/>
    <w:rsid w:val="00957ECB"/>
    <w:rsid w:val="00965834"/>
    <w:rsid w:val="00971765"/>
    <w:rsid w:val="009824B3"/>
    <w:rsid w:val="00990A77"/>
    <w:rsid w:val="00996E19"/>
    <w:rsid w:val="009B1F5C"/>
    <w:rsid w:val="009D3858"/>
    <w:rsid w:val="009E27BE"/>
    <w:rsid w:val="009E43FD"/>
    <w:rsid w:val="009F3401"/>
    <w:rsid w:val="009F3ABB"/>
    <w:rsid w:val="009F48BB"/>
    <w:rsid w:val="00A048C3"/>
    <w:rsid w:val="00A15942"/>
    <w:rsid w:val="00A2138A"/>
    <w:rsid w:val="00A215C0"/>
    <w:rsid w:val="00A26E5F"/>
    <w:rsid w:val="00A3752C"/>
    <w:rsid w:val="00A5113A"/>
    <w:rsid w:val="00A93AD5"/>
    <w:rsid w:val="00A94B35"/>
    <w:rsid w:val="00A97BC5"/>
    <w:rsid w:val="00AA4BD0"/>
    <w:rsid w:val="00AB0BD8"/>
    <w:rsid w:val="00AC1411"/>
    <w:rsid w:val="00AC7C42"/>
    <w:rsid w:val="00AD5E2D"/>
    <w:rsid w:val="00AE29CD"/>
    <w:rsid w:val="00AE5FE0"/>
    <w:rsid w:val="00AF0B97"/>
    <w:rsid w:val="00AF1919"/>
    <w:rsid w:val="00B05FAC"/>
    <w:rsid w:val="00B060EF"/>
    <w:rsid w:val="00B23C40"/>
    <w:rsid w:val="00B243A8"/>
    <w:rsid w:val="00B31FC3"/>
    <w:rsid w:val="00B53DC5"/>
    <w:rsid w:val="00B558FE"/>
    <w:rsid w:val="00B56941"/>
    <w:rsid w:val="00B63291"/>
    <w:rsid w:val="00B75C79"/>
    <w:rsid w:val="00B80CB5"/>
    <w:rsid w:val="00B843E8"/>
    <w:rsid w:val="00B866C1"/>
    <w:rsid w:val="00B91DD6"/>
    <w:rsid w:val="00B92639"/>
    <w:rsid w:val="00B92D31"/>
    <w:rsid w:val="00BA0BBB"/>
    <w:rsid w:val="00BB0E31"/>
    <w:rsid w:val="00BC5ACF"/>
    <w:rsid w:val="00BD0EE9"/>
    <w:rsid w:val="00BE53AE"/>
    <w:rsid w:val="00BE5DD6"/>
    <w:rsid w:val="00BF06A6"/>
    <w:rsid w:val="00C029ED"/>
    <w:rsid w:val="00C23174"/>
    <w:rsid w:val="00C23E84"/>
    <w:rsid w:val="00C36385"/>
    <w:rsid w:val="00C409FC"/>
    <w:rsid w:val="00C438A0"/>
    <w:rsid w:val="00C4588F"/>
    <w:rsid w:val="00C519AB"/>
    <w:rsid w:val="00C5495E"/>
    <w:rsid w:val="00C6573A"/>
    <w:rsid w:val="00C73E04"/>
    <w:rsid w:val="00C77F3E"/>
    <w:rsid w:val="00C803C4"/>
    <w:rsid w:val="00C81DD6"/>
    <w:rsid w:val="00C964CE"/>
    <w:rsid w:val="00C96E68"/>
    <w:rsid w:val="00CA1721"/>
    <w:rsid w:val="00CA2859"/>
    <w:rsid w:val="00CA5246"/>
    <w:rsid w:val="00CB6E63"/>
    <w:rsid w:val="00CC18A0"/>
    <w:rsid w:val="00CD70F3"/>
    <w:rsid w:val="00CE798F"/>
    <w:rsid w:val="00D03AA6"/>
    <w:rsid w:val="00D07D55"/>
    <w:rsid w:val="00D368D5"/>
    <w:rsid w:val="00D404B4"/>
    <w:rsid w:val="00D82202"/>
    <w:rsid w:val="00D82745"/>
    <w:rsid w:val="00D82C9B"/>
    <w:rsid w:val="00D90905"/>
    <w:rsid w:val="00D95CF1"/>
    <w:rsid w:val="00DA0284"/>
    <w:rsid w:val="00DB3298"/>
    <w:rsid w:val="00DB59BE"/>
    <w:rsid w:val="00DB6A25"/>
    <w:rsid w:val="00DC7297"/>
    <w:rsid w:val="00DE0FD4"/>
    <w:rsid w:val="00E02890"/>
    <w:rsid w:val="00E05FB1"/>
    <w:rsid w:val="00E12853"/>
    <w:rsid w:val="00E2114F"/>
    <w:rsid w:val="00E237DC"/>
    <w:rsid w:val="00E258B8"/>
    <w:rsid w:val="00E30A40"/>
    <w:rsid w:val="00E45E90"/>
    <w:rsid w:val="00E77F79"/>
    <w:rsid w:val="00E87033"/>
    <w:rsid w:val="00E903EC"/>
    <w:rsid w:val="00E97B38"/>
    <w:rsid w:val="00EA6230"/>
    <w:rsid w:val="00EA6620"/>
    <w:rsid w:val="00EC102C"/>
    <w:rsid w:val="00EC3E6C"/>
    <w:rsid w:val="00EC7BBE"/>
    <w:rsid w:val="00EE6E61"/>
    <w:rsid w:val="00EF51BA"/>
    <w:rsid w:val="00F00367"/>
    <w:rsid w:val="00F226D2"/>
    <w:rsid w:val="00F27E34"/>
    <w:rsid w:val="00F30D6E"/>
    <w:rsid w:val="00F51F44"/>
    <w:rsid w:val="00F62FDD"/>
    <w:rsid w:val="00F74AF9"/>
    <w:rsid w:val="00F85233"/>
    <w:rsid w:val="00F86B41"/>
    <w:rsid w:val="00FB1BB8"/>
    <w:rsid w:val="00FB2DA7"/>
    <w:rsid w:val="00FC2DE4"/>
    <w:rsid w:val="00FC56F3"/>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8465"/>
  <w15:docId w15:val="{1EBA47AD-CBE9-4095-B260-FDD1631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419"/>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qFormat/>
    <w:rsid w:val="000755F6"/>
    <w:pPr>
      <w:spacing w:after="200" w:line="280" w:lineRule="exact"/>
    </w:pPr>
    <w:rPr>
      <w:rFonts w:ascii="Century Gothic" w:hAnsi="Century Gothic"/>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7"/>
    <w:qFormat/>
    <w:rsid w:val="000755F6"/>
    <w:pPr>
      <w:spacing w:before="280" w:after="680" w:line="480" w:lineRule="exact"/>
    </w:pPr>
    <w:rPr>
      <w:rFonts w:ascii="Century Gothic" w:hAnsi="Century Gothic"/>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5"/>
    <w:qFormat/>
    <w:rsid w:val="001E1DE0"/>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uiPriority w:val="9"/>
    <w:rsid w:val="00762252"/>
    <w:pPr>
      <w:spacing w:line="1560" w:lineRule="exact"/>
    </w:pPr>
    <w:rPr>
      <w:b/>
      <w:color w:val="FFFFFF" w:themeColor="background1"/>
      <w:sz w:val="130"/>
      <w:szCs w:val="130"/>
    </w:rPr>
  </w:style>
  <w:style w:type="paragraph" w:customStyle="1" w:styleId="HWMainTitle2">
    <w:name w:val="HW Main Title 2"/>
    <w:basedOn w:val="Normal"/>
    <w:uiPriority w:val="9"/>
    <w:rsid w:val="00762252"/>
    <w:pPr>
      <w:spacing w:line="440" w:lineRule="exact"/>
    </w:pPr>
    <w:rPr>
      <w:color w:val="FFFFFF" w:themeColor="background1"/>
      <w:sz w:val="3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uiPriority w:val="1"/>
    <w:qFormat/>
    <w:rsid w:val="000755F6"/>
    <w:pPr>
      <w:spacing w:after="480" w:line="1000" w:lineRule="exact"/>
    </w:pPr>
    <w:rPr>
      <w:rFonts w:ascii="Century Gothic" w:hAnsi="Century Gothic"/>
      <w:color w:val="E73E97" w:themeColor="accent1"/>
    </w:rPr>
  </w:style>
  <w:style w:type="paragraph" w:customStyle="1" w:styleId="HWHeading2">
    <w:name w:val="HW Heading 2"/>
    <w:basedOn w:val="Heading2"/>
    <w:next w:val="HWNormalText"/>
    <w:uiPriority w:val="2"/>
    <w:qFormat/>
    <w:rsid w:val="000755F6"/>
    <w:rPr>
      <w:rFonts w:ascii="Century Gothic" w:hAnsi="Century Gothic"/>
    </w:rPr>
  </w:style>
  <w:style w:type="paragraph" w:customStyle="1" w:styleId="HWHeading3">
    <w:name w:val="HW Heading 3"/>
    <w:basedOn w:val="Heading3"/>
    <w:next w:val="HWNormalText"/>
    <w:uiPriority w:val="3"/>
    <w:qFormat/>
    <w:rsid w:val="000755F6"/>
    <w:rPr>
      <w:rFonts w:ascii="Century Gothic" w:hAnsi="Century Gothic"/>
      <w:sz w:val="30"/>
    </w:rPr>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F00367"/>
    <w:rPr>
      <w:sz w:val="24"/>
    </w:rPr>
  </w:style>
  <w:style w:type="paragraph" w:customStyle="1" w:styleId="HWStoryText">
    <w:name w:val="HW Story Text"/>
    <w:basedOn w:val="HWStoryTextQuote"/>
    <w:next w:val="HWStoryAttribution"/>
    <w:uiPriority w:val="9"/>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E45E90"/>
    <w:pPr>
      <w:shd w:val="clear" w:color="auto" w:fill="FDF0D8" w:themeFill="accent3" w:themeFillTint="33"/>
      <w:ind w:left="567" w:right="567"/>
    </w:pPr>
    <w:rPr>
      <w:color w:val="5F5F5F" w:themeColor="text2" w:themeShade="80"/>
    </w:rPr>
  </w:style>
  <w:style w:type="paragraph" w:customStyle="1" w:styleId="HWBlank">
    <w:name w:val="HW Blank"/>
    <w:basedOn w:val="HWNormalText"/>
    <w:uiPriority w:val="9"/>
    <w:qFormat/>
    <w:rsid w:val="00633D55"/>
    <w:pPr>
      <w:spacing w:after="0" w:line="120" w:lineRule="exact"/>
    </w:pPr>
  </w:style>
  <w:style w:type="paragraph" w:customStyle="1" w:styleId="HWBigNumber">
    <w:name w:val="HW Big Number"/>
    <w:basedOn w:val="HWNormalText"/>
    <w:next w:val="HWNormalText"/>
    <w:uiPriority w:val="9"/>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uiPriority w:val="9"/>
    <w:qFormat/>
    <w:rsid w:val="00F62FDD"/>
    <w:pPr>
      <w:spacing w:line="240" w:lineRule="atLeast"/>
    </w:pPr>
    <w:rPr>
      <w:noProof/>
      <w:lang w:eastAsia="en-GB"/>
    </w:rPr>
  </w:style>
  <w:style w:type="paragraph" w:customStyle="1" w:styleId="HWEndPage1">
    <w:name w:val="HW End Page 1"/>
    <w:basedOn w:val="HWNormalText"/>
    <w:next w:val="HWEndPage2"/>
    <w:uiPriority w:val="9"/>
    <w:rsid w:val="00851069"/>
    <w:pPr>
      <w:spacing w:before="4080" w:after="0"/>
    </w:pPr>
    <w:rPr>
      <w:b/>
      <w:color w:val="FFFFFF" w:themeColor="background1"/>
    </w:rPr>
  </w:style>
  <w:style w:type="paragraph" w:customStyle="1" w:styleId="HWEndPage2">
    <w:name w:val="HW End Page 2"/>
    <w:basedOn w:val="HWNormalText"/>
    <w:uiPriority w:val="9"/>
    <w:rsid w:val="006147DF"/>
    <w:pPr>
      <w:spacing w:after="0" w:line="260" w:lineRule="exact"/>
    </w:pPr>
    <w:rPr>
      <w:b/>
      <w:color w:val="FFFFFF" w:themeColor="background1"/>
    </w:rPr>
  </w:style>
  <w:style w:type="paragraph" w:customStyle="1" w:styleId="HWEndPage3">
    <w:name w:val="HW End Page 3"/>
    <w:basedOn w:val="HWNormalText"/>
    <w:uiPriority w:val="9"/>
    <w:rsid w:val="006147DF"/>
    <w:pPr>
      <w:spacing w:after="0" w:line="260" w:lineRule="exact"/>
    </w:pPr>
    <w:rPr>
      <w:b/>
      <w:color w:val="FFFFFF" w:themeColor="background1"/>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uiPriority w:val="9"/>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uiPriority w:val="9"/>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uiPriority w:val="9"/>
    <w:qFormat/>
    <w:rsid w:val="004D2EC8"/>
    <w:pPr>
      <w:spacing w:after="0" w:line="288" w:lineRule="auto"/>
      <w:ind w:left="1474" w:right="1701"/>
    </w:pPr>
    <w:rPr>
      <w:b/>
      <w:color w:val="004C6B" w:themeColor="text1"/>
    </w:rPr>
  </w:style>
  <w:style w:type="paragraph" w:customStyle="1" w:styleId="HWStoryBullets">
    <w:name w:val="HW Story Bullets"/>
    <w:basedOn w:val="HWStoryTextQuote"/>
    <w:uiPriority w:val="9"/>
    <w:qFormat/>
    <w:rsid w:val="00E903EC"/>
    <w:pPr>
      <w:numPr>
        <w:numId w:val="17"/>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paragraph" w:styleId="IntenseQuote">
    <w:name w:val="Intense Quote"/>
    <w:basedOn w:val="Normal"/>
    <w:next w:val="Normal"/>
    <w:link w:val="IntenseQuoteChar"/>
    <w:uiPriority w:val="6"/>
    <w:qFormat/>
    <w:rsid w:val="000755F6"/>
    <w:pPr>
      <w:pBdr>
        <w:top w:val="single" w:sz="4" w:space="10" w:color="E73E97" w:themeColor="accent1"/>
        <w:bottom w:val="single" w:sz="4" w:space="10" w:color="E73E97" w:themeColor="accent1"/>
      </w:pBdr>
      <w:spacing w:before="360" w:after="360"/>
      <w:ind w:left="864" w:right="864"/>
      <w:jc w:val="center"/>
    </w:pPr>
    <w:rPr>
      <w:rFonts w:ascii="Century Gothic" w:hAnsi="Century Gothic"/>
      <w:i/>
      <w:iCs/>
      <w:color w:val="E73E97" w:themeColor="accent1"/>
    </w:rPr>
  </w:style>
  <w:style w:type="character" w:customStyle="1" w:styleId="IntenseQuoteChar">
    <w:name w:val="Intense Quote Char"/>
    <w:basedOn w:val="DefaultParagraphFont"/>
    <w:link w:val="IntenseQuote"/>
    <w:uiPriority w:val="6"/>
    <w:rsid w:val="000755F6"/>
    <w:rPr>
      <w:rFonts w:ascii="Century Gothic" w:hAnsi="Century Gothic" w:cs="Arial"/>
      <w:i/>
      <w:iCs/>
      <w:color w:val="E73E97" w:themeColor="accent1"/>
    </w:rPr>
  </w:style>
  <w:style w:type="character" w:styleId="Strong">
    <w:name w:val="Strong"/>
    <w:basedOn w:val="DefaultParagraphFont"/>
    <w:uiPriority w:val="22"/>
    <w:qFormat/>
    <w:rsid w:val="001C0419"/>
    <w:rPr>
      <w:b/>
      <w:bCs/>
    </w:rPr>
  </w:style>
  <w:style w:type="paragraph" w:styleId="ListParagraph">
    <w:name w:val="List Paragraph"/>
    <w:basedOn w:val="Normal"/>
    <w:uiPriority w:val="34"/>
    <w:qFormat/>
    <w:rsid w:val="001C0419"/>
    <w:pPr>
      <w:ind w:left="720"/>
      <w:contextualSpacing/>
    </w:pPr>
  </w:style>
  <w:style w:type="character" w:styleId="IntenseEmphasis">
    <w:name w:val="Intense Emphasis"/>
    <w:basedOn w:val="DefaultParagraphFont"/>
    <w:uiPriority w:val="21"/>
    <w:qFormat/>
    <w:rsid w:val="001C0419"/>
    <w:rPr>
      <w:i/>
      <w:iCs/>
      <w:color w:val="E73E97" w:themeColor="accent1"/>
    </w:rPr>
  </w:style>
  <w:style w:type="paragraph" w:styleId="Quote">
    <w:name w:val="Quote"/>
    <w:basedOn w:val="Normal"/>
    <w:next w:val="Normal"/>
    <w:link w:val="QuoteChar"/>
    <w:uiPriority w:val="29"/>
    <w:qFormat/>
    <w:rsid w:val="000755F6"/>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Century Gothic" w:hAnsi="Century Gothic" w:cstheme="minorBidi"/>
      <w:b/>
      <w:color w:val="004C6B" w:themeColor="text1"/>
      <w:sz w:val="28"/>
      <w:szCs w:val="28"/>
    </w:rPr>
  </w:style>
  <w:style w:type="character" w:customStyle="1" w:styleId="QuoteChar">
    <w:name w:val="Quote Char"/>
    <w:basedOn w:val="DefaultParagraphFont"/>
    <w:link w:val="Quote"/>
    <w:uiPriority w:val="29"/>
    <w:rsid w:val="000755F6"/>
    <w:rPr>
      <w:rFonts w:ascii="Century Gothic" w:hAnsi="Century Gothic" w:cstheme="minorBidi"/>
      <w:b/>
      <w:color w:val="004C6B" w:themeColor="text1"/>
      <w:sz w:val="28"/>
      <w:szCs w:val="28"/>
      <w:shd w:val="clear" w:color="auto" w:fill="FDF0D8" w:themeFill="accent3" w:themeFillTint="33"/>
    </w:rPr>
  </w:style>
  <w:style w:type="character" w:styleId="Emphasis">
    <w:name w:val="Emphasis"/>
    <w:basedOn w:val="DefaultParagraphFont"/>
    <w:uiPriority w:val="20"/>
    <w:qFormat/>
    <w:rsid w:val="00455CE1"/>
    <w:rPr>
      <w:i/>
      <w:iCs/>
    </w:rPr>
  </w:style>
  <w:style w:type="paragraph" w:styleId="Title">
    <w:name w:val="Title"/>
    <w:basedOn w:val="Normal"/>
    <w:next w:val="Normal"/>
    <w:link w:val="TitleChar"/>
    <w:uiPriority w:val="10"/>
    <w:qFormat/>
    <w:rsid w:val="00455CE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CE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7BC5"/>
    <w:rPr>
      <w:color w:val="A81563" w:themeColor="hyperlink"/>
      <w:u w:val="single"/>
    </w:rPr>
  </w:style>
  <w:style w:type="character" w:styleId="UnresolvedMention">
    <w:name w:val="Unresolved Mention"/>
    <w:basedOn w:val="DefaultParagraphFont"/>
    <w:uiPriority w:val="99"/>
    <w:semiHidden/>
    <w:unhideWhenUsed/>
    <w:rsid w:val="000D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play.google.com/store/apps/details?id=net.iplato.mygp&amp;hl=en_GB&amp;gl=US&amp;pli=1"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y.google.com/store/apps/details?id=com.nhs.online.nhsonline"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nhs.uk/nhs-services/gps/using-online-servic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lay.google.com/store/apps/details?id=uk.co.patient.patientaccess&amp;hl=en_GB&amp;gl=US&amp;pli=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s://www.nhs.uk/service-search/pharmacy/find-a-pharmacy" TargetMode="External"/><Relationship Id="rId27" Type="http://schemas.openxmlformats.org/officeDocument/2006/relationships/image" Target="media/image7.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pilkauskiene\Downloads\20220413---use-this-for-day-to-day-work---healthwatch-briefing-report-template---century-gothic-2%20(1).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E6EF1-A35C-4242-9478-820F6E879CD5}">
  <ds:schemaRefs>
    <ds:schemaRef ds:uri="http://schemas.openxmlformats.org/officeDocument/2006/bibliography"/>
  </ds:schemaRefs>
</ds:datastoreItem>
</file>

<file path=customXml/itemProps2.xml><?xml version="1.0" encoding="utf-8"?>
<ds:datastoreItem xmlns:ds="http://schemas.openxmlformats.org/officeDocument/2006/customXml" ds:itemID="{A4FB61F0-E789-420D-A323-29B968172D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3E512-C889-4C2F-9FA5-347BCC2BA39B}">
  <ds:schemaRefs>
    <ds:schemaRef ds:uri="http://schemas.microsoft.com/sharepoint/v3/contenttype/forms"/>
  </ds:schemaRefs>
</ds:datastoreItem>
</file>

<file path=customXml/itemProps4.xml><?xml version="1.0" encoding="utf-8"?>
<ds:datastoreItem xmlns:ds="http://schemas.openxmlformats.org/officeDocument/2006/customXml" ds:itemID="{C46F2AF5-80EF-496D-9244-C24F4F7D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20220413---use-this-for-day-to-day-work---healthwatch-briefing-report-template---century-gothic-2 (1)</Template>
  <TotalTime>187</TotalTime>
  <Pages>5</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Briefing</vt:lpstr>
    </vt:vector>
  </TitlesOfParts>
  <Company>Healthwatch</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Agne Pilkauskiene</dc:creator>
  <cp:keywords>Report</cp:keywords>
  <dc:description>v2.24 by Kessler Associates</dc:description>
  <cp:lastModifiedBy>Agne Pilkauskiene</cp:lastModifiedBy>
  <cp:revision>5</cp:revision>
  <dcterms:created xsi:type="dcterms:W3CDTF">2022-11-21T15:23:00Z</dcterms:created>
  <dcterms:modified xsi:type="dcterms:W3CDTF">2022-11-24T12:25:00Z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